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Извещение о проведении электронного аукциона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proofErr w:type="gramStart"/>
      <w:r w:rsidRPr="009B0AB0">
        <w:rPr>
          <w:rFonts w:ascii="Tahoma" w:eastAsia="Times New Roman" w:hAnsi="Tahoma" w:cs="Tahoma"/>
          <w:sz w:val="21"/>
          <w:szCs w:val="21"/>
          <w:lang w:eastAsia="ru-RU"/>
        </w:rPr>
        <w:t>для</w:t>
      </w:r>
      <w:proofErr w:type="gramEnd"/>
      <w:r w:rsidRPr="009B0AB0">
        <w:rPr>
          <w:rFonts w:ascii="Tahoma" w:eastAsia="Times New Roman" w:hAnsi="Tahoma" w:cs="Tahoma"/>
          <w:sz w:val="21"/>
          <w:szCs w:val="21"/>
          <w:lang w:eastAsia="ru-RU"/>
        </w:rPr>
        <w:t xml:space="preserve"> закупки №0119300010021000004</w:t>
      </w:r>
    </w:p>
    <w:tbl>
      <w:tblPr>
        <w:tblW w:w="5000" w:type="pct"/>
        <w:tblCellMar>
          <w:left w:w="0" w:type="dxa"/>
          <w:right w:w="0" w:type="dxa"/>
        </w:tblCellMar>
        <w:tblLook w:val="04A0" w:firstRow="1" w:lastRow="0" w:firstColumn="1" w:lastColumn="0" w:noHBand="0" w:noVBand="1"/>
      </w:tblPr>
      <w:tblGrid>
        <w:gridCol w:w="4186"/>
        <w:gridCol w:w="6280"/>
      </w:tblGrid>
      <w:tr w:rsidR="009B0AB0" w:rsidRPr="009B0AB0" w:rsidTr="009B0AB0">
        <w:tc>
          <w:tcPr>
            <w:tcW w:w="2000" w:type="pct"/>
            <w:vAlign w:val="center"/>
            <w:hideMark/>
          </w:tcPr>
          <w:p w:rsidR="009B0AB0" w:rsidRPr="009B0AB0" w:rsidRDefault="009B0AB0" w:rsidP="009B0AB0">
            <w:pPr>
              <w:rPr>
                <w:rFonts w:ascii="Tahoma" w:eastAsia="Times New Roman" w:hAnsi="Tahoma" w:cs="Tahoma"/>
                <w:sz w:val="21"/>
                <w:szCs w:val="21"/>
                <w:lang w:eastAsia="ru-RU"/>
              </w:rPr>
            </w:pPr>
          </w:p>
        </w:tc>
        <w:tc>
          <w:tcPr>
            <w:tcW w:w="3000" w:type="pct"/>
            <w:vAlign w:val="center"/>
            <w:hideMark/>
          </w:tcPr>
          <w:p w:rsidR="009B0AB0" w:rsidRPr="009B0AB0" w:rsidRDefault="009B0AB0" w:rsidP="009B0AB0">
            <w:pPr>
              <w:jc w:val="cente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Общая информация</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извещения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0119300010021000004</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Наименование объекта закупки</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Благоустройство части площади с установкой </w:t>
            </w:r>
            <w:proofErr w:type="spellStart"/>
            <w:r w:rsidRPr="009B0AB0">
              <w:rPr>
                <w:rFonts w:ascii="Tahoma" w:eastAsia="Times New Roman" w:hAnsi="Tahoma" w:cs="Tahoma"/>
                <w:sz w:val="21"/>
                <w:szCs w:val="21"/>
                <w:lang w:eastAsia="ru-RU"/>
              </w:rPr>
              <w:t>скейт</w:t>
            </w:r>
            <w:proofErr w:type="spellEnd"/>
            <w:r w:rsidRPr="009B0AB0">
              <w:rPr>
                <w:rFonts w:ascii="Tahoma" w:eastAsia="Times New Roman" w:hAnsi="Tahoma" w:cs="Tahoma"/>
                <w:sz w:val="21"/>
                <w:szCs w:val="21"/>
                <w:lang w:eastAsia="ru-RU"/>
              </w:rPr>
              <w:t>-площадки</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Электронный аукцион</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АО «Сбербанк-АСТ»</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http://www.sberbank-ast.ru</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Размещение осуществляет</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Заказчик</w:t>
            </w:r>
            <w:r w:rsidRPr="009B0AB0">
              <w:rPr>
                <w:rFonts w:ascii="Tahoma" w:eastAsia="Times New Roman" w:hAnsi="Tahoma" w:cs="Tahoma"/>
                <w:sz w:val="21"/>
                <w:szCs w:val="21"/>
                <w:lang w:eastAsia="ru-RU"/>
              </w:rPr>
              <w:br/>
              <w:t>АДМИНИСТРАЦИЯ ГОРОДОКСКОГО СЕЛЬСОВЕТА МИНУСИНСКОГО РАЙОНА КРАСНОЯРСКОГО КРАЯ</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Контактная информация</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Организация, осуществляющая размещение</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АДМИНИСТРАЦИЯ ГОРОДОКСКОГО СЕЛЬСОВЕТА МИНУСИНСКОГО РАЙОНА КРАСНОЯРСКОГО КРАЯ</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Почтовый адрес</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Российская Федерация, 662631, Красноярский край, Минусинский р-н, Городок с, УЛ ЛЕНИНА, ДОМ 6 А</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Место нахождения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Российская Федерация, 662631, Красноярский край, Минусинский р-н, Городок с, УЛ ЛЕНИНА, ДОМ 6 А</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Ответственное должностное лицо</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Тощев Андрей Валерьевич</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Адрес электронной почты</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toshev75@inbox.ru</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контактного телефона</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8-39132-71268</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Факс</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Информация отсутствует</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Дополнительная информация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Информация отсутствует</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Информация о процедуре закупки</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Дата и время начала подачи заявок</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15.07.2021 09:00</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Место подачи заявок</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АО «Сбербанк-АСТ»</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Порядок подачи заявок</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Закона 44-ФЗ оператором электронной площадки в реестре участников закупок, аккредитованных на электронной площадке. 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 3. Заявка на участие в электронном аукционе, за исключением случая, предусмотренного частью 8.1 статьи 66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44-ФЗ. Указанные электронные документы </w:t>
            </w:r>
            <w:r w:rsidRPr="009B0AB0">
              <w:rPr>
                <w:rFonts w:ascii="Tahoma" w:eastAsia="Times New Roman" w:hAnsi="Tahoma" w:cs="Tahoma"/>
                <w:sz w:val="21"/>
                <w:szCs w:val="21"/>
                <w:lang w:eastAsia="ru-RU"/>
              </w:rPr>
              <w:lastRenderedPageBreak/>
              <w:t>подаются одновременно. 4. Участник электронного аукциона вправе подать только одну заявку на участие в таком аукционе. 5.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lastRenderedPageBreak/>
              <w:t>Дата окончания срока рассмотрения первых частей заявок участников</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15.07.2021</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Дата проведения аукциона в электронной форме</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16.07.2021</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Дополнительная информация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Информация отсутствует</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 xml:space="preserve">Условия контракта </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Начальная (максимальная) цена контракта</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1801127.00 Российский рубль</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принимаемого бюджетного обязательства</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0430185021190016</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Дата принимаемого бюджетного обязательства</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15.06.2021</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Финансовое обеспечение закупки</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97"/>
              <w:gridCol w:w="2058"/>
              <w:gridCol w:w="2058"/>
              <w:gridCol w:w="2058"/>
              <w:gridCol w:w="3095"/>
            </w:tblGrid>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Всего: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Оплата за 2021 год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Оплата за 2022 год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Оплата за 2023 год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Сумма на последующие годы </w:t>
                  </w:r>
                </w:p>
              </w:tc>
            </w:tr>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1801127.00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1801127.00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r>
          </w:tbl>
          <w:p w:rsidR="009B0AB0" w:rsidRPr="009B0AB0" w:rsidRDefault="009B0AB0" w:rsidP="009B0AB0">
            <w:pPr>
              <w:rPr>
                <w:rFonts w:ascii="Tahoma" w:eastAsia="Times New Roman" w:hAnsi="Tahoma" w:cs="Tahoma"/>
                <w:sz w:val="21"/>
                <w:szCs w:val="21"/>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Финансирование за счет бюджетных средств</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767"/>
              <w:gridCol w:w="1096"/>
              <w:gridCol w:w="1565"/>
              <w:gridCol w:w="1406"/>
              <w:gridCol w:w="1406"/>
              <w:gridCol w:w="2226"/>
            </w:tblGrid>
            <w:tr w:rsidR="009B0AB0" w:rsidRPr="009B0AB0">
              <w:trPr>
                <w:gridAfter w:val="1"/>
              </w:trPr>
              <w:tc>
                <w:tcPr>
                  <w:tcW w:w="0" w:type="auto"/>
                  <w:gridSpan w:val="5"/>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Российский рубль</w:t>
                  </w:r>
                </w:p>
              </w:tc>
            </w:tr>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Код бюджетной классификации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Всего: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Оплата за 2021 год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Оплата за 2022 год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Оплата за 2023 год </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Сумма на последующие годы </w:t>
                  </w:r>
                </w:p>
              </w:tc>
            </w:tr>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810050315202S6410244</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126079.00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126079.00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r>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810050315200S6410244</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1584991.00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1584991.00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r>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810050315203S6410244</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90057.00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90057.00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0.00</w:t>
                  </w:r>
                </w:p>
              </w:tc>
            </w:tr>
          </w:tbl>
          <w:p w:rsidR="009B0AB0" w:rsidRPr="009B0AB0" w:rsidRDefault="009B0AB0" w:rsidP="009B0AB0">
            <w:pPr>
              <w:rPr>
                <w:rFonts w:ascii="Tahoma" w:eastAsia="Times New Roman" w:hAnsi="Tahoma" w:cs="Tahoma"/>
                <w:sz w:val="21"/>
                <w:szCs w:val="21"/>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Источник финансирования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proofErr w:type="gramStart"/>
            <w:r w:rsidRPr="009B0AB0">
              <w:rPr>
                <w:rFonts w:ascii="Tahoma" w:eastAsia="Times New Roman" w:hAnsi="Tahoma" w:cs="Tahoma"/>
                <w:sz w:val="21"/>
                <w:szCs w:val="21"/>
                <w:lang w:eastAsia="ru-RU"/>
              </w:rPr>
              <w:t>бюджет</w:t>
            </w:r>
            <w:proofErr w:type="gramEnd"/>
            <w:r w:rsidRPr="009B0AB0">
              <w:rPr>
                <w:rFonts w:ascii="Tahoma" w:eastAsia="Times New Roman" w:hAnsi="Tahoma" w:cs="Tahoma"/>
                <w:sz w:val="21"/>
                <w:szCs w:val="21"/>
                <w:lang w:eastAsia="ru-RU"/>
              </w:rPr>
              <w:t xml:space="preserve"> </w:t>
            </w:r>
            <w:proofErr w:type="spellStart"/>
            <w:r w:rsidRPr="009B0AB0">
              <w:rPr>
                <w:rFonts w:ascii="Tahoma" w:eastAsia="Times New Roman" w:hAnsi="Tahoma" w:cs="Tahoma"/>
                <w:sz w:val="21"/>
                <w:szCs w:val="21"/>
                <w:lang w:eastAsia="ru-RU"/>
              </w:rPr>
              <w:t>Городокского</w:t>
            </w:r>
            <w:proofErr w:type="spellEnd"/>
            <w:r w:rsidRPr="009B0AB0">
              <w:rPr>
                <w:rFonts w:ascii="Tahoma" w:eastAsia="Times New Roman" w:hAnsi="Tahoma" w:cs="Tahoma"/>
                <w:sz w:val="21"/>
                <w:szCs w:val="21"/>
                <w:lang w:eastAsia="ru-RU"/>
              </w:rPr>
              <w:t xml:space="preserve"> сельсовета</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Идентификационный код закупки</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213242500213524550100100040054299244</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Российская Федерация, Красноярский край, Минусинский р-н, с. Городок, ул. Садовая, 2 «а»</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proofErr w:type="gramStart"/>
            <w:r w:rsidRPr="009B0AB0">
              <w:rPr>
                <w:rFonts w:ascii="Tahoma" w:eastAsia="Times New Roman" w:hAnsi="Tahoma" w:cs="Tahoma"/>
                <w:sz w:val="21"/>
                <w:szCs w:val="21"/>
                <w:lang w:eastAsia="ru-RU"/>
              </w:rPr>
              <w:t>с</w:t>
            </w:r>
            <w:proofErr w:type="gramEnd"/>
            <w:r w:rsidRPr="009B0AB0">
              <w:rPr>
                <w:rFonts w:ascii="Tahoma" w:eastAsia="Times New Roman" w:hAnsi="Tahoma" w:cs="Tahoma"/>
                <w:sz w:val="21"/>
                <w:szCs w:val="21"/>
                <w:lang w:eastAsia="ru-RU"/>
              </w:rPr>
              <w:t xml:space="preserve"> даты заключения контракта по 31.08.2021г.</w:t>
            </w:r>
          </w:p>
        </w:tc>
      </w:tr>
      <w:tr w:rsidR="009B0AB0" w:rsidRPr="009B0AB0" w:rsidTr="009B0AB0">
        <w:tc>
          <w:tcPr>
            <w:tcW w:w="0" w:type="auto"/>
            <w:gridSpan w:val="2"/>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Объект закупки</w:t>
            </w:r>
          </w:p>
        </w:tc>
      </w:tr>
      <w:tr w:rsidR="009B0AB0" w:rsidRPr="009B0AB0" w:rsidTr="009B0AB0">
        <w:tc>
          <w:tcPr>
            <w:tcW w:w="0" w:type="auto"/>
            <w:gridSpan w:val="2"/>
            <w:vAlign w:val="center"/>
            <w:hideMark/>
          </w:tcPr>
          <w:p w:rsidR="009B0AB0" w:rsidRPr="009B0AB0" w:rsidRDefault="009B0AB0" w:rsidP="009B0AB0">
            <w:pPr>
              <w:spacing w:before="100" w:beforeAutospacing="1" w:after="100" w:afterAutospacing="1"/>
              <w:jc w:val="right"/>
              <w:rPr>
                <w:rFonts w:ascii="Tahoma" w:eastAsia="Times New Roman" w:hAnsi="Tahoma" w:cs="Tahoma"/>
                <w:sz w:val="21"/>
                <w:szCs w:val="21"/>
                <w:lang w:eastAsia="ru-RU"/>
              </w:rPr>
            </w:pPr>
            <w:r w:rsidRPr="009B0AB0">
              <w:rPr>
                <w:rFonts w:ascii="Tahoma" w:eastAsia="Times New Roman" w:hAnsi="Tahoma" w:cs="Tahoma"/>
                <w:sz w:val="21"/>
                <w:szCs w:val="21"/>
                <w:lang w:eastAsia="ru-RU"/>
              </w:rPr>
              <w:t>Российский рубль</w:t>
            </w:r>
          </w:p>
        </w:tc>
      </w:tr>
      <w:tr w:rsidR="009B0AB0" w:rsidRPr="009B0AB0" w:rsidTr="009B0AB0">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490"/>
              <w:gridCol w:w="1120"/>
              <w:gridCol w:w="1489"/>
              <w:gridCol w:w="960"/>
              <w:gridCol w:w="1089"/>
              <w:gridCol w:w="1089"/>
              <w:gridCol w:w="1175"/>
              <w:gridCol w:w="1004"/>
              <w:gridCol w:w="1050"/>
            </w:tblGrid>
            <w:tr w:rsidR="009B0AB0" w:rsidRPr="009B0AB0">
              <w:tc>
                <w:tcPr>
                  <w:tcW w:w="0" w:type="auto"/>
                  <w:vMerge w:val="restart"/>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Наименование товара, работы, услуги по КТРУ</w:t>
                  </w:r>
                </w:p>
              </w:tc>
              <w:tc>
                <w:tcPr>
                  <w:tcW w:w="0" w:type="auto"/>
                  <w:vMerge w:val="restart"/>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Код позиции</w:t>
                  </w:r>
                </w:p>
              </w:tc>
              <w:tc>
                <w:tcPr>
                  <w:tcW w:w="0" w:type="auto"/>
                  <w:gridSpan w:val="3"/>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Характеристики товара, работы, услуги</w:t>
                  </w:r>
                </w:p>
              </w:tc>
              <w:tc>
                <w:tcPr>
                  <w:tcW w:w="0" w:type="auto"/>
                  <w:vMerge w:val="restart"/>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Единица измерения</w:t>
                  </w:r>
                </w:p>
              </w:tc>
              <w:tc>
                <w:tcPr>
                  <w:tcW w:w="0" w:type="auto"/>
                  <w:vMerge w:val="restart"/>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Количество</w:t>
                  </w:r>
                </w:p>
              </w:tc>
              <w:tc>
                <w:tcPr>
                  <w:tcW w:w="0" w:type="auto"/>
                  <w:vMerge w:val="restart"/>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 xml:space="preserve">Цена за </w:t>
                  </w:r>
                  <w:proofErr w:type="spellStart"/>
                  <w:r w:rsidRPr="009B0AB0">
                    <w:rPr>
                      <w:rFonts w:ascii="Tahoma" w:eastAsia="Times New Roman" w:hAnsi="Tahoma" w:cs="Tahoma"/>
                      <w:b/>
                      <w:bCs/>
                      <w:sz w:val="21"/>
                      <w:szCs w:val="21"/>
                      <w:lang w:eastAsia="ru-RU"/>
                    </w:rPr>
                    <w:t>ед.изм</w:t>
                  </w:r>
                  <w:proofErr w:type="spellEnd"/>
                  <w:r w:rsidRPr="009B0AB0">
                    <w:rPr>
                      <w:rFonts w:ascii="Tahoma" w:eastAsia="Times New Roman" w:hAnsi="Tahoma" w:cs="Tahoma"/>
                      <w:b/>
                      <w:bCs/>
                      <w:sz w:val="21"/>
                      <w:szCs w:val="21"/>
                      <w:lang w:eastAsia="ru-RU"/>
                    </w:rPr>
                    <w:t>.</w:t>
                  </w:r>
                </w:p>
              </w:tc>
              <w:tc>
                <w:tcPr>
                  <w:tcW w:w="0" w:type="auto"/>
                  <w:vMerge w:val="restart"/>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Стоимость</w:t>
                  </w:r>
                </w:p>
              </w:tc>
            </w:tr>
            <w:tr w:rsidR="009B0AB0" w:rsidRPr="009B0AB0">
              <w:tc>
                <w:tcPr>
                  <w:tcW w:w="0" w:type="auto"/>
                  <w:vMerge/>
                  <w:vAlign w:val="center"/>
                  <w:hideMark/>
                </w:tcPr>
                <w:p w:rsidR="009B0AB0" w:rsidRPr="009B0AB0" w:rsidRDefault="009B0AB0" w:rsidP="009B0AB0">
                  <w:pPr>
                    <w:rPr>
                      <w:rFonts w:ascii="Tahoma" w:eastAsia="Times New Roman" w:hAnsi="Tahoma" w:cs="Tahoma"/>
                      <w:b/>
                      <w:bCs/>
                      <w:sz w:val="21"/>
                      <w:szCs w:val="21"/>
                      <w:lang w:eastAsia="ru-RU"/>
                    </w:rPr>
                  </w:pPr>
                </w:p>
              </w:tc>
              <w:tc>
                <w:tcPr>
                  <w:tcW w:w="0" w:type="auto"/>
                  <w:vMerge/>
                  <w:vAlign w:val="center"/>
                  <w:hideMark/>
                </w:tcPr>
                <w:p w:rsidR="009B0AB0" w:rsidRPr="009B0AB0" w:rsidRDefault="009B0AB0" w:rsidP="009B0AB0">
                  <w:pPr>
                    <w:rPr>
                      <w:rFonts w:ascii="Tahoma" w:eastAsia="Times New Roman" w:hAnsi="Tahoma" w:cs="Tahoma"/>
                      <w:b/>
                      <w:bCs/>
                      <w:sz w:val="21"/>
                      <w:szCs w:val="21"/>
                      <w:lang w:eastAsia="ru-RU"/>
                    </w:rPr>
                  </w:pPr>
                </w:p>
              </w:tc>
              <w:tc>
                <w:tcPr>
                  <w:tcW w:w="0" w:type="auto"/>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Наименование</w:t>
                  </w:r>
                </w:p>
              </w:tc>
              <w:tc>
                <w:tcPr>
                  <w:tcW w:w="0" w:type="auto"/>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Значение</w:t>
                  </w:r>
                </w:p>
              </w:tc>
              <w:tc>
                <w:tcPr>
                  <w:tcW w:w="0" w:type="auto"/>
                  <w:vAlign w:val="center"/>
                  <w:hideMark/>
                </w:tcPr>
                <w:p w:rsidR="009B0AB0" w:rsidRPr="009B0AB0" w:rsidRDefault="009B0AB0" w:rsidP="009B0AB0">
                  <w:pPr>
                    <w:jc w:val="center"/>
                    <w:rPr>
                      <w:rFonts w:ascii="Tahoma" w:eastAsia="Times New Roman" w:hAnsi="Tahoma" w:cs="Tahoma"/>
                      <w:b/>
                      <w:bCs/>
                      <w:sz w:val="21"/>
                      <w:szCs w:val="21"/>
                      <w:lang w:eastAsia="ru-RU"/>
                    </w:rPr>
                  </w:pPr>
                  <w:r w:rsidRPr="009B0AB0">
                    <w:rPr>
                      <w:rFonts w:ascii="Tahoma" w:eastAsia="Times New Roman" w:hAnsi="Tahoma" w:cs="Tahoma"/>
                      <w:b/>
                      <w:bCs/>
                      <w:sz w:val="21"/>
                      <w:szCs w:val="21"/>
                      <w:lang w:eastAsia="ru-RU"/>
                    </w:rPr>
                    <w:t>Единица измерения</w:t>
                  </w:r>
                </w:p>
              </w:tc>
              <w:tc>
                <w:tcPr>
                  <w:tcW w:w="0" w:type="auto"/>
                  <w:vMerge/>
                  <w:vAlign w:val="center"/>
                  <w:hideMark/>
                </w:tcPr>
                <w:p w:rsidR="009B0AB0" w:rsidRPr="009B0AB0" w:rsidRDefault="009B0AB0" w:rsidP="009B0AB0">
                  <w:pPr>
                    <w:rPr>
                      <w:rFonts w:ascii="Tahoma" w:eastAsia="Times New Roman" w:hAnsi="Tahoma" w:cs="Tahoma"/>
                      <w:b/>
                      <w:bCs/>
                      <w:sz w:val="21"/>
                      <w:szCs w:val="21"/>
                      <w:lang w:eastAsia="ru-RU"/>
                    </w:rPr>
                  </w:pPr>
                </w:p>
              </w:tc>
              <w:tc>
                <w:tcPr>
                  <w:tcW w:w="0" w:type="auto"/>
                  <w:vMerge/>
                  <w:vAlign w:val="center"/>
                  <w:hideMark/>
                </w:tcPr>
                <w:p w:rsidR="009B0AB0" w:rsidRPr="009B0AB0" w:rsidRDefault="009B0AB0" w:rsidP="009B0AB0">
                  <w:pPr>
                    <w:rPr>
                      <w:rFonts w:ascii="Tahoma" w:eastAsia="Times New Roman" w:hAnsi="Tahoma" w:cs="Tahoma"/>
                      <w:b/>
                      <w:bCs/>
                      <w:sz w:val="21"/>
                      <w:szCs w:val="21"/>
                      <w:lang w:eastAsia="ru-RU"/>
                    </w:rPr>
                  </w:pPr>
                </w:p>
              </w:tc>
              <w:tc>
                <w:tcPr>
                  <w:tcW w:w="0" w:type="auto"/>
                  <w:vMerge/>
                  <w:vAlign w:val="center"/>
                  <w:hideMark/>
                </w:tcPr>
                <w:p w:rsidR="009B0AB0" w:rsidRPr="009B0AB0" w:rsidRDefault="009B0AB0" w:rsidP="009B0AB0">
                  <w:pPr>
                    <w:rPr>
                      <w:rFonts w:ascii="Tahoma" w:eastAsia="Times New Roman" w:hAnsi="Tahoma" w:cs="Tahoma"/>
                      <w:b/>
                      <w:bCs/>
                      <w:sz w:val="21"/>
                      <w:szCs w:val="21"/>
                      <w:lang w:eastAsia="ru-RU"/>
                    </w:rPr>
                  </w:pPr>
                </w:p>
              </w:tc>
              <w:tc>
                <w:tcPr>
                  <w:tcW w:w="0" w:type="auto"/>
                  <w:vMerge/>
                  <w:vAlign w:val="center"/>
                  <w:hideMark/>
                </w:tcPr>
                <w:p w:rsidR="009B0AB0" w:rsidRPr="009B0AB0" w:rsidRDefault="009B0AB0" w:rsidP="009B0AB0">
                  <w:pPr>
                    <w:rPr>
                      <w:rFonts w:ascii="Tahoma" w:eastAsia="Times New Roman" w:hAnsi="Tahoma" w:cs="Tahoma"/>
                      <w:b/>
                      <w:bCs/>
                      <w:sz w:val="21"/>
                      <w:szCs w:val="21"/>
                      <w:lang w:eastAsia="ru-RU"/>
                    </w:rPr>
                  </w:pPr>
                </w:p>
              </w:tc>
            </w:tr>
            <w:tr w:rsidR="009B0AB0" w:rsidRP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Благоустройство части площади с установкой </w:t>
                  </w:r>
                  <w:proofErr w:type="spellStart"/>
                  <w:r w:rsidRPr="009B0AB0">
                    <w:rPr>
                      <w:rFonts w:ascii="Tahoma" w:eastAsia="Times New Roman" w:hAnsi="Tahoma" w:cs="Tahoma"/>
                      <w:sz w:val="21"/>
                      <w:szCs w:val="21"/>
                      <w:lang w:eastAsia="ru-RU"/>
                    </w:rPr>
                    <w:t>скейт</w:t>
                  </w:r>
                  <w:proofErr w:type="spellEnd"/>
                  <w:r w:rsidRPr="009B0AB0">
                    <w:rPr>
                      <w:rFonts w:ascii="Tahoma" w:eastAsia="Times New Roman" w:hAnsi="Tahoma" w:cs="Tahoma"/>
                      <w:sz w:val="21"/>
                      <w:szCs w:val="21"/>
                      <w:lang w:eastAsia="ru-RU"/>
                    </w:rPr>
                    <w:t>-площадки</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42.99.29.100</w:t>
                  </w:r>
                </w:p>
              </w:tc>
              <w:tc>
                <w:tcPr>
                  <w:tcW w:w="0" w:type="auto"/>
                  <w:gridSpan w:val="3"/>
                  <w:vAlign w:val="center"/>
                  <w:hideMark/>
                </w:tcPr>
                <w:p w:rsidR="009B0AB0" w:rsidRPr="009B0AB0" w:rsidRDefault="009B0AB0" w:rsidP="009B0AB0">
                  <w:pPr>
                    <w:rPr>
                      <w:rFonts w:ascii="Tahoma" w:eastAsia="Times New Roman" w:hAnsi="Tahoma" w:cs="Tahoma"/>
                      <w:sz w:val="21"/>
                      <w:szCs w:val="21"/>
                      <w:lang w:eastAsia="ru-RU"/>
                    </w:rPr>
                  </w:pP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Условная единица</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1801127.00</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1801127.00</w:t>
                  </w:r>
                </w:p>
              </w:tc>
            </w:tr>
          </w:tbl>
          <w:p w:rsidR="009B0AB0" w:rsidRPr="009B0AB0" w:rsidRDefault="009B0AB0" w:rsidP="009B0AB0">
            <w:pPr>
              <w:rPr>
                <w:rFonts w:ascii="Tahoma" w:eastAsia="Times New Roman" w:hAnsi="Tahoma" w:cs="Tahoma"/>
                <w:sz w:val="21"/>
                <w:szCs w:val="21"/>
                <w:lang w:eastAsia="ru-RU"/>
              </w:rPr>
            </w:pPr>
          </w:p>
        </w:tc>
      </w:tr>
      <w:tr w:rsidR="009B0AB0" w:rsidRPr="009B0AB0" w:rsidTr="009B0AB0">
        <w:tc>
          <w:tcPr>
            <w:tcW w:w="0" w:type="auto"/>
            <w:gridSpan w:val="2"/>
            <w:vAlign w:val="center"/>
            <w:hideMark/>
          </w:tcPr>
          <w:p w:rsidR="009B0AB0" w:rsidRPr="009B0AB0" w:rsidRDefault="009B0AB0" w:rsidP="009B0AB0">
            <w:pPr>
              <w:spacing w:before="100" w:beforeAutospacing="1" w:after="100" w:afterAutospacing="1"/>
              <w:jc w:val="right"/>
              <w:rPr>
                <w:rFonts w:ascii="Tahoma" w:eastAsia="Times New Roman" w:hAnsi="Tahoma" w:cs="Tahoma"/>
                <w:sz w:val="21"/>
                <w:szCs w:val="21"/>
                <w:lang w:eastAsia="ru-RU"/>
              </w:rPr>
            </w:pPr>
            <w:r w:rsidRPr="009B0AB0">
              <w:rPr>
                <w:rFonts w:ascii="Tahoma" w:eastAsia="Times New Roman" w:hAnsi="Tahoma" w:cs="Tahoma"/>
                <w:sz w:val="21"/>
                <w:szCs w:val="21"/>
                <w:lang w:eastAsia="ru-RU"/>
              </w:rPr>
              <w:t>Итого: 1801127.00 Российский рубль</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Преимущества</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Субъектам малого предпринимательства, социально ориентированным некоммерческим организациям</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Требования к участникам</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1 Единые требования к участникам закупок в соответствии с ч. 1 ст. 31 Закона № 44-ФЗ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Установлено</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lastRenderedPageBreak/>
              <w:t xml:space="preserve">2 Требования к участникам закупок в соответствии с частью 1.1 статьи 31 Федерального закона № 44-ФЗ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Установлено</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lastRenderedPageBreak/>
              <w:t>Ограничения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1 Закупка у субъектов малого предпринимательства и социально ориентированных некоммерческих организаций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Установлено</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Обеспечение заявок</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Требуется обеспечение заявок</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Размер обеспечения заявок</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18011.27 Российский рубль</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Порядок внесения денежных средств в качестве обеспечения заявок</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Платежные реквизиты для перечисления денежных средств при уклонении участника закупки от заключения контракта </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расчётного счёта" 00000000000000000000</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лицевого счёта" См. прилагаемые документы</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"БИК" 000000000</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"Наименование кредитной организации"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"Номер корреспондентского счета" </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Требуется обеспечение исполнения контракта</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Размер обеспечения исполнения контракта</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sz w:val="21"/>
                <w:szCs w:val="21"/>
                <w:lang w:eastAsia="ru-RU"/>
              </w:rPr>
              <w:t>5.00%</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1. Способ обеспечения исполнения контракта определяется участником закупки самостоятельно. 2. Срок действия банковской гарантии должен превышать срок действия контракта не менее чем на один месяц. 3. Контракт заключается после предоставления участником закупки обеспечения исполнения контракта. В случае </w:t>
            </w:r>
            <w:proofErr w:type="spellStart"/>
            <w:r w:rsidRPr="009B0AB0">
              <w:rPr>
                <w:rFonts w:ascii="Tahoma" w:eastAsia="Times New Roman" w:hAnsi="Tahoma" w:cs="Tahoma"/>
                <w:sz w:val="21"/>
                <w:szCs w:val="21"/>
                <w:lang w:eastAsia="ru-RU"/>
              </w:rPr>
              <w:t>непредоставления</w:t>
            </w:r>
            <w:proofErr w:type="spellEnd"/>
            <w:r w:rsidRPr="009B0AB0">
              <w:rPr>
                <w:rFonts w:ascii="Tahoma" w:eastAsia="Times New Roman" w:hAnsi="Tahoma" w:cs="Tahoma"/>
                <w:sz w:val="21"/>
                <w:szCs w:val="21"/>
                <w:lang w:eastAsia="ru-RU"/>
              </w:rPr>
              <w:t xml:space="preserve"> обеспечения исполнения контракта в срок, установленный для заключения контракта, такой участник считается уклонившимся от заключения контракта. 4. В случае отзыва у банка-гаранта лицензии на осуществление банковских операций, поставщик (подрядчик, исполнитель) обязан предоставить новое обеспечение исполнения контракта. Срок предоставления нового обеспечения – не позднее одного месяца со дня надлежащего уведомления Заказчиком о возникновении такой необходимости. За каждый день просрочки не предоставления поставщиком (подрядчиком, исполнителем) нового обеспечения контракта, будет начисляться пеня. 5. Размер обеспечения исполнения контракта может быть уменьшен в порядке определенном в частях 7.2 и 7.3 статьи 96 Закона РФ о контрактной системе в сфере закупок. </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Платежные реквизиты</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расчётного счёта" 00000000000000000000</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lastRenderedPageBreak/>
              <w:t>"Номер лицевого счёта" См. прилагаемые документы</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"БИК" 000000000</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"Наименование кредитной организации"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"Номер корреспондентского счета" </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lastRenderedPageBreak/>
              <w:t>Обеспечение гарантийных обязательств</w:t>
            </w:r>
          </w:p>
        </w:tc>
        <w:tc>
          <w:tcPr>
            <w:tcW w:w="0" w:type="auto"/>
            <w:vAlign w:val="center"/>
            <w:hideMark/>
          </w:tcPr>
          <w:p w:rsidR="009B0AB0" w:rsidRPr="009B0AB0" w:rsidRDefault="009B0AB0" w:rsidP="009B0AB0">
            <w:pPr>
              <w:rPr>
                <w:rFonts w:ascii="Times New Roman" w:eastAsia="Times New Roman" w:hAnsi="Times New Roman" w:cs="Times New Roman"/>
                <w:sz w:val="20"/>
                <w:szCs w:val="20"/>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Требуется обеспечение гарантийных обязательств</w:t>
            </w:r>
          </w:p>
        </w:tc>
        <w:tc>
          <w:tcPr>
            <w:tcW w:w="0" w:type="auto"/>
            <w:vAlign w:val="center"/>
            <w:hideMark/>
          </w:tcPr>
          <w:p w:rsidR="009B0AB0" w:rsidRPr="009B0AB0" w:rsidRDefault="009B0AB0" w:rsidP="009B0AB0">
            <w:pPr>
              <w:rPr>
                <w:rFonts w:ascii="Tahoma" w:eastAsia="Times New Roman" w:hAnsi="Tahoma" w:cs="Tahoma"/>
                <w:sz w:val="21"/>
                <w:szCs w:val="21"/>
                <w:lang w:eastAsia="ru-RU"/>
              </w:rPr>
            </w:pP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Размер обеспечения гарантийных обязательств</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54033.81 Российский рубль</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Порядок внесения денежных средств в качестве обеспечения гарантийных обязательств</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3. Способ обеспечения гарантийных обязательств определяется участником аукциона самостоятельно. 4. В случае определения участником аукциона способа обеспечения гарантийных обязательств «Безотзывная банковская гарантия, выданная банком», срок действия банковской гарантии должен превышать срок действия гарантийных обязательств не менее чем на один месяц. 5. В случае, если у банка-гаранта отзовут лицензию, участник аукциона обязан предоставить новое обеспечение обязательства. Если участник аукциона в течение последующего месяца не предоставляет новые гарантии, ему начисляется, пеня за каждый день просрочки исполнения своих обязательств, согласно Контракта. 6. Возврат участнику аукциона денежных средств, перечисленных в качестве обеспечения гарантийных обязательств, способ и порядок изменения гарантийных обязательств участника аукциона производится в порядке, установленным в Контракте.</w:t>
            </w:r>
          </w:p>
        </w:tc>
      </w:tr>
      <w:tr w:rsidR="009B0AB0" w:rsidRPr="009B0AB0" w:rsidTr="009B0AB0">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Платежные реквизиты</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расчетного счета» 00000000000000000000</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«Номер лицевого счета» См. прилагаемые документы</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«БИК» 000000000</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"Наименование кредитной организации" </w:t>
            </w:r>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"Номер корреспондентского счета" </w:t>
            </w:r>
          </w:p>
        </w:tc>
      </w:tr>
      <w:tr w:rsidR="009B0AB0" w:rsidRPr="009B0AB0" w:rsidTr="009B0AB0">
        <w:tc>
          <w:tcPr>
            <w:tcW w:w="0" w:type="auto"/>
            <w:gridSpan w:val="2"/>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Информация о банковском и (или) казначейском сопровождении контракта</w:t>
            </w:r>
          </w:p>
        </w:tc>
      </w:tr>
      <w:tr w:rsidR="009B0AB0" w:rsidRPr="009B0AB0" w:rsidTr="009B0AB0">
        <w:tc>
          <w:tcPr>
            <w:tcW w:w="0" w:type="auto"/>
            <w:gridSpan w:val="2"/>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Банковское или казначейское сопровождение контракта не требуется</w:t>
            </w:r>
          </w:p>
        </w:tc>
      </w:tr>
      <w:tr w:rsidR="009B0AB0" w:rsidRPr="009B0AB0" w:rsidT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Дополнительная информация</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Информация отсутствует</w:t>
            </w:r>
          </w:p>
        </w:tc>
      </w:tr>
      <w:tr w:rsidR="009B0AB0" w:rsidRPr="009B0AB0" w:rsidTr="009B0AB0">
        <w:tc>
          <w:tcPr>
            <w:tcW w:w="0" w:type="auto"/>
            <w:vAlign w:val="center"/>
            <w:hideMark/>
          </w:tcPr>
          <w:p w:rsidR="009B0AB0" w:rsidRPr="009B0AB0" w:rsidRDefault="009B0AB0" w:rsidP="009B0AB0">
            <w:pPr>
              <w:rPr>
                <w:rFonts w:ascii="Tahoma" w:eastAsia="Times New Roman" w:hAnsi="Tahoma" w:cs="Tahoma"/>
                <w:sz w:val="21"/>
                <w:szCs w:val="21"/>
                <w:lang w:eastAsia="ru-RU"/>
              </w:rPr>
            </w:pPr>
            <w:r w:rsidRPr="009B0AB0">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1 Документация ЭА Городок </w:t>
            </w:r>
            <w:proofErr w:type="spellStart"/>
            <w:proofErr w:type="gramStart"/>
            <w:r w:rsidRPr="009B0AB0">
              <w:rPr>
                <w:rFonts w:ascii="Tahoma" w:eastAsia="Times New Roman" w:hAnsi="Tahoma" w:cs="Tahoma"/>
                <w:sz w:val="21"/>
                <w:szCs w:val="21"/>
                <w:lang w:eastAsia="ru-RU"/>
              </w:rPr>
              <w:t>скейт</w:t>
            </w:r>
            <w:proofErr w:type="spellEnd"/>
            <w:r w:rsidRPr="009B0AB0">
              <w:rPr>
                <w:rFonts w:ascii="Tahoma" w:eastAsia="Times New Roman" w:hAnsi="Tahoma" w:cs="Tahoma"/>
                <w:sz w:val="21"/>
                <w:szCs w:val="21"/>
                <w:lang w:eastAsia="ru-RU"/>
              </w:rPr>
              <w:t>-парк</w:t>
            </w:r>
            <w:proofErr w:type="gramEnd"/>
          </w:p>
          <w:p w:rsidR="009B0AB0" w:rsidRPr="009B0AB0" w:rsidRDefault="009B0AB0" w:rsidP="009B0AB0">
            <w:pPr>
              <w:spacing w:before="100" w:beforeAutospacing="1" w:after="100" w:afterAutospacing="1"/>
              <w:rPr>
                <w:rFonts w:ascii="Tahoma" w:eastAsia="Times New Roman" w:hAnsi="Tahoma" w:cs="Tahoma"/>
                <w:sz w:val="21"/>
                <w:szCs w:val="21"/>
                <w:lang w:eastAsia="ru-RU"/>
              </w:rPr>
            </w:pPr>
            <w:r w:rsidRPr="009B0AB0">
              <w:rPr>
                <w:rFonts w:ascii="Tahoma" w:eastAsia="Times New Roman" w:hAnsi="Tahoma" w:cs="Tahoma"/>
                <w:sz w:val="21"/>
                <w:szCs w:val="21"/>
                <w:lang w:eastAsia="ru-RU"/>
              </w:rPr>
              <w:t xml:space="preserve">2 Смета и ДВ Благоустройство площади со </w:t>
            </w:r>
            <w:proofErr w:type="spellStart"/>
            <w:r w:rsidRPr="009B0AB0">
              <w:rPr>
                <w:rFonts w:ascii="Tahoma" w:eastAsia="Times New Roman" w:hAnsi="Tahoma" w:cs="Tahoma"/>
                <w:sz w:val="21"/>
                <w:szCs w:val="21"/>
                <w:lang w:eastAsia="ru-RU"/>
              </w:rPr>
              <w:t>скейт</w:t>
            </w:r>
            <w:proofErr w:type="spellEnd"/>
            <w:r w:rsidRPr="009B0AB0">
              <w:rPr>
                <w:rFonts w:ascii="Tahoma" w:eastAsia="Times New Roman" w:hAnsi="Tahoma" w:cs="Tahoma"/>
                <w:sz w:val="21"/>
                <w:szCs w:val="21"/>
                <w:lang w:eastAsia="ru-RU"/>
              </w:rPr>
              <w:t>-площадкой, Городок 27.11.2020</w:t>
            </w:r>
          </w:p>
        </w:tc>
      </w:tr>
    </w:tbl>
    <w:p w:rsidR="00705A5B" w:rsidRPr="009B0AB0" w:rsidRDefault="00705A5B" w:rsidP="009B0AB0">
      <w:bookmarkStart w:id="0" w:name="_GoBack"/>
      <w:bookmarkEnd w:id="0"/>
    </w:p>
    <w:sectPr w:rsidR="00705A5B" w:rsidRPr="009B0AB0" w:rsidSect="00CD3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5"/>
    <w:rsid w:val="00124B01"/>
    <w:rsid w:val="001D6A22"/>
    <w:rsid w:val="00322401"/>
    <w:rsid w:val="004C0F95"/>
    <w:rsid w:val="005D335A"/>
    <w:rsid w:val="00705A5B"/>
    <w:rsid w:val="008E2C0E"/>
    <w:rsid w:val="009B0AB0"/>
    <w:rsid w:val="00CD3734"/>
    <w:rsid w:val="00FD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25C2C-38AC-4313-964C-F62590F9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4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Название1"/>
    <w:basedOn w:val="a"/>
    <w:rsid w:val="003224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Подзаголовок1"/>
    <w:basedOn w:val="a"/>
    <w:rsid w:val="003224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3224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meter">
    <w:name w:val="parameter"/>
    <w:basedOn w:val="a"/>
    <w:rsid w:val="003224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metervalue">
    <w:name w:val="parametervalue"/>
    <w:basedOn w:val="a"/>
    <w:rsid w:val="00322401"/>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22401"/>
    <w:rPr>
      <w:rFonts w:ascii="Segoe UI" w:hAnsi="Segoe UI" w:cs="Segoe UI"/>
      <w:sz w:val="18"/>
      <w:szCs w:val="18"/>
    </w:rPr>
  </w:style>
  <w:style w:type="character" w:customStyle="1" w:styleId="a5">
    <w:name w:val="Текст выноски Знак"/>
    <w:basedOn w:val="a0"/>
    <w:link w:val="a4"/>
    <w:uiPriority w:val="99"/>
    <w:semiHidden/>
    <w:rsid w:val="00322401"/>
    <w:rPr>
      <w:rFonts w:ascii="Segoe UI" w:hAnsi="Segoe UI" w:cs="Segoe UI"/>
      <w:sz w:val="18"/>
      <w:szCs w:val="18"/>
    </w:rPr>
  </w:style>
  <w:style w:type="paragraph" w:customStyle="1" w:styleId="2">
    <w:name w:val="Название2"/>
    <w:basedOn w:val="a"/>
    <w:rsid w:val="00FD58F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0">
    <w:name w:val="Подзаголовок2"/>
    <w:basedOn w:val="a"/>
    <w:rsid w:val="00FD58F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1">
    <w:name w:val="Название объекта2"/>
    <w:basedOn w:val="a"/>
    <w:rsid w:val="00FD58F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
    <w:name w:val="Название3"/>
    <w:basedOn w:val="a"/>
    <w:rsid w:val="005D335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0">
    <w:name w:val="Подзаголовок3"/>
    <w:basedOn w:val="a"/>
    <w:rsid w:val="005D335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1">
    <w:name w:val="Название объекта3"/>
    <w:basedOn w:val="a"/>
    <w:rsid w:val="005D335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4">
    <w:name w:val="Название4"/>
    <w:basedOn w:val="a"/>
    <w:rsid w:val="00124B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40">
    <w:name w:val="Подзаголовок4"/>
    <w:basedOn w:val="a"/>
    <w:rsid w:val="00124B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41">
    <w:name w:val="Название объекта4"/>
    <w:basedOn w:val="a"/>
    <w:rsid w:val="00124B0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
    <w:name w:val="title"/>
    <w:basedOn w:val="a"/>
    <w:rsid w:val="009B0A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ubtitle">
    <w:name w:val="subtitle"/>
    <w:basedOn w:val="a"/>
    <w:rsid w:val="009B0AB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tion">
    <w:name w:val="caption"/>
    <w:basedOn w:val="a"/>
    <w:rsid w:val="009B0AB0"/>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1738">
      <w:bodyDiv w:val="1"/>
      <w:marLeft w:val="0"/>
      <w:marRight w:val="0"/>
      <w:marTop w:val="0"/>
      <w:marBottom w:val="0"/>
      <w:divBdr>
        <w:top w:val="none" w:sz="0" w:space="0" w:color="auto"/>
        <w:left w:val="none" w:sz="0" w:space="0" w:color="auto"/>
        <w:bottom w:val="none" w:sz="0" w:space="0" w:color="auto"/>
        <w:right w:val="none" w:sz="0" w:space="0" w:color="auto"/>
      </w:divBdr>
      <w:divsChild>
        <w:div w:id="1640576762">
          <w:marLeft w:val="0"/>
          <w:marRight w:val="0"/>
          <w:marTop w:val="6930"/>
          <w:marBottom w:val="0"/>
          <w:divBdr>
            <w:top w:val="none" w:sz="0" w:space="0" w:color="auto"/>
            <w:left w:val="none" w:sz="0" w:space="0" w:color="auto"/>
            <w:bottom w:val="none" w:sz="0" w:space="0" w:color="auto"/>
            <w:right w:val="none" w:sz="0" w:space="0" w:color="auto"/>
          </w:divBdr>
          <w:divsChild>
            <w:div w:id="1628781768">
              <w:marLeft w:val="0"/>
              <w:marRight w:val="0"/>
              <w:marTop w:val="0"/>
              <w:marBottom w:val="0"/>
              <w:divBdr>
                <w:top w:val="none" w:sz="0" w:space="0" w:color="auto"/>
                <w:left w:val="none" w:sz="0" w:space="0" w:color="auto"/>
                <w:bottom w:val="none" w:sz="0" w:space="0" w:color="auto"/>
                <w:right w:val="none" w:sz="0" w:space="0" w:color="auto"/>
              </w:divBdr>
              <w:divsChild>
                <w:div w:id="2061511569">
                  <w:marLeft w:val="0"/>
                  <w:marRight w:val="0"/>
                  <w:marTop w:val="0"/>
                  <w:marBottom w:val="0"/>
                  <w:divBdr>
                    <w:top w:val="none" w:sz="0" w:space="0" w:color="auto"/>
                    <w:left w:val="none" w:sz="0" w:space="0" w:color="auto"/>
                    <w:bottom w:val="none" w:sz="0" w:space="0" w:color="auto"/>
                    <w:right w:val="none" w:sz="0" w:space="0" w:color="auto"/>
                  </w:divBdr>
                  <w:divsChild>
                    <w:div w:id="1138959092">
                      <w:marLeft w:val="0"/>
                      <w:marRight w:val="0"/>
                      <w:marTop w:val="0"/>
                      <w:marBottom w:val="0"/>
                      <w:divBdr>
                        <w:top w:val="none" w:sz="0" w:space="0" w:color="auto"/>
                        <w:left w:val="none" w:sz="0" w:space="0" w:color="auto"/>
                        <w:bottom w:val="none" w:sz="0" w:space="0" w:color="auto"/>
                        <w:right w:val="none" w:sz="0" w:space="0" w:color="auto"/>
                      </w:divBdr>
                      <w:divsChild>
                        <w:div w:id="421075331">
                          <w:marLeft w:val="0"/>
                          <w:marRight w:val="0"/>
                          <w:marTop w:val="0"/>
                          <w:marBottom w:val="0"/>
                          <w:divBdr>
                            <w:top w:val="none" w:sz="0" w:space="0" w:color="auto"/>
                            <w:left w:val="none" w:sz="0" w:space="0" w:color="auto"/>
                            <w:bottom w:val="none" w:sz="0" w:space="0" w:color="auto"/>
                            <w:right w:val="none" w:sz="0" w:space="0" w:color="auto"/>
                          </w:divBdr>
                          <w:divsChild>
                            <w:div w:id="830754508">
                              <w:marLeft w:val="0"/>
                              <w:marRight w:val="0"/>
                              <w:marTop w:val="0"/>
                              <w:marBottom w:val="0"/>
                              <w:divBdr>
                                <w:top w:val="none" w:sz="0" w:space="0" w:color="auto"/>
                                <w:left w:val="none" w:sz="0" w:space="0" w:color="auto"/>
                                <w:bottom w:val="none" w:sz="0" w:space="0" w:color="auto"/>
                                <w:right w:val="none" w:sz="0" w:space="0" w:color="auto"/>
                              </w:divBdr>
                              <w:divsChild>
                                <w:div w:id="10581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74435">
      <w:bodyDiv w:val="1"/>
      <w:marLeft w:val="0"/>
      <w:marRight w:val="0"/>
      <w:marTop w:val="0"/>
      <w:marBottom w:val="0"/>
      <w:divBdr>
        <w:top w:val="none" w:sz="0" w:space="0" w:color="auto"/>
        <w:left w:val="none" w:sz="0" w:space="0" w:color="auto"/>
        <w:bottom w:val="none" w:sz="0" w:space="0" w:color="auto"/>
        <w:right w:val="none" w:sz="0" w:space="0" w:color="auto"/>
      </w:divBdr>
      <w:divsChild>
        <w:div w:id="569730840">
          <w:marLeft w:val="0"/>
          <w:marRight w:val="0"/>
          <w:marTop w:val="10395"/>
          <w:marBottom w:val="0"/>
          <w:divBdr>
            <w:top w:val="none" w:sz="0" w:space="0" w:color="auto"/>
            <w:left w:val="none" w:sz="0" w:space="0" w:color="auto"/>
            <w:bottom w:val="none" w:sz="0" w:space="0" w:color="auto"/>
            <w:right w:val="none" w:sz="0" w:space="0" w:color="auto"/>
          </w:divBdr>
          <w:divsChild>
            <w:div w:id="1391153852">
              <w:marLeft w:val="0"/>
              <w:marRight w:val="0"/>
              <w:marTop w:val="0"/>
              <w:marBottom w:val="0"/>
              <w:divBdr>
                <w:top w:val="none" w:sz="0" w:space="0" w:color="auto"/>
                <w:left w:val="none" w:sz="0" w:space="0" w:color="auto"/>
                <w:bottom w:val="none" w:sz="0" w:space="0" w:color="auto"/>
                <w:right w:val="none" w:sz="0" w:space="0" w:color="auto"/>
              </w:divBdr>
              <w:divsChild>
                <w:div w:id="1462920611">
                  <w:marLeft w:val="0"/>
                  <w:marRight w:val="0"/>
                  <w:marTop w:val="0"/>
                  <w:marBottom w:val="0"/>
                  <w:divBdr>
                    <w:top w:val="none" w:sz="0" w:space="0" w:color="auto"/>
                    <w:left w:val="none" w:sz="0" w:space="0" w:color="auto"/>
                    <w:bottom w:val="none" w:sz="0" w:space="0" w:color="auto"/>
                    <w:right w:val="none" w:sz="0" w:space="0" w:color="auto"/>
                  </w:divBdr>
                  <w:divsChild>
                    <w:div w:id="988677866">
                      <w:marLeft w:val="0"/>
                      <w:marRight w:val="0"/>
                      <w:marTop w:val="0"/>
                      <w:marBottom w:val="0"/>
                      <w:divBdr>
                        <w:top w:val="none" w:sz="0" w:space="0" w:color="auto"/>
                        <w:left w:val="none" w:sz="0" w:space="0" w:color="auto"/>
                        <w:bottom w:val="none" w:sz="0" w:space="0" w:color="auto"/>
                        <w:right w:val="none" w:sz="0" w:space="0" w:color="auto"/>
                      </w:divBdr>
                      <w:divsChild>
                        <w:div w:id="691300541">
                          <w:marLeft w:val="0"/>
                          <w:marRight w:val="0"/>
                          <w:marTop w:val="0"/>
                          <w:marBottom w:val="0"/>
                          <w:divBdr>
                            <w:top w:val="none" w:sz="0" w:space="0" w:color="auto"/>
                            <w:left w:val="none" w:sz="0" w:space="0" w:color="auto"/>
                            <w:bottom w:val="none" w:sz="0" w:space="0" w:color="auto"/>
                            <w:right w:val="none" w:sz="0" w:space="0" w:color="auto"/>
                          </w:divBdr>
                          <w:divsChild>
                            <w:div w:id="729697283">
                              <w:marLeft w:val="0"/>
                              <w:marRight w:val="0"/>
                              <w:marTop w:val="0"/>
                              <w:marBottom w:val="0"/>
                              <w:divBdr>
                                <w:top w:val="none" w:sz="0" w:space="0" w:color="auto"/>
                                <w:left w:val="none" w:sz="0" w:space="0" w:color="auto"/>
                                <w:bottom w:val="none" w:sz="0" w:space="0" w:color="auto"/>
                                <w:right w:val="none" w:sz="0" w:space="0" w:color="auto"/>
                              </w:divBdr>
                              <w:divsChild>
                                <w:div w:id="8084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865339">
      <w:bodyDiv w:val="1"/>
      <w:marLeft w:val="0"/>
      <w:marRight w:val="0"/>
      <w:marTop w:val="0"/>
      <w:marBottom w:val="0"/>
      <w:divBdr>
        <w:top w:val="none" w:sz="0" w:space="0" w:color="auto"/>
        <w:left w:val="none" w:sz="0" w:space="0" w:color="auto"/>
        <w:bottom w:val="none" w:sz="0" w:space="0" w:color="auto"/>
        <w:right w:val="none" w:sz="0" w:space="0" w:color="auto"/>
      </w:divBdr>
      <w:divsChild>
        <w:div w:id="1649286941">
          <w:marLeft w:val="0"/>
          <w:marRight w:val="0"/>
          <w:marTop w:val="7230"/>
          <w:marBottom w:val="0"/>
          <w:divBdr>
            <w:top w:val="none" w:sz="0" w:space="0" w:color="auto"/>
            <w:left w:val="none" w:sz="0" w:space="0" w:color="auto"/>
            <w:bottom w:val="none" w:sz="0" w:space="0" w:color="auto"/>
            <w:right w:val="none" w:sz="0" w:space="0" w:color="auto"/>
          </w:divBdr>
          <w:divsChild>
            <w:div w:id="1367952802">
              <w:marLeft w:val="0"/>
              <w:marRight w:val="0"/>
              <w:marTop w:val="0"/>
              <w:marBottom w:val="0"/>
              <w:divBdr>
                <w:top w:val="none" w:sz="0" w:space="0" w:color="auto"/>
                <w:left w:val="none" w:sz="0" w:space="0" w:color="auto"/>
                <w:bottom w:val="none" w:sz="0" w:space="0" w:color="auto"/>
                <w:right w:val="none" w:sz="0" w:space="0" w:color="auto"/>
              </w:divBdr>
              <w:divsChild>
                <w:div w:id="2003966613">
                  <w:marLeft w:val="0"/>
                  <w:marRight w:val="0"/>
                  <w:marTop w:val="0"/>
                  <w:marBottom w:val="0"/>
                  <w:divBdr>
                    <w:top w:val="none" w:sz="0" w:space="0" w:color="auto"/>
                    <w:left w:val="none" w:sz="0" w:space="0" w:color="auto"/>
                    <w:bottom w:val="none" w:sz="0" w:space="0" w:color="auto"/>
                    <w:right w:val="none" w:sz="0" w:space="0" w:color="auto"/>
                  </w:divBdr>
                  <w:divsChild>
                    <w:div w:id="1248005327">
                      <w:marLeft w:val="0"/>
                      <w:marRight w:val="0"/>
                      <w:marTop w:val="0"/>
                      <w:marBottom w:val="0"/>
                      <w:divBdr>
                        <w:top w:val="none" w:sz="0" w:space="0" w:color="auto"/>
                        <w:left w:val="none" w:sz="0" w:space="0" w:color="auto"/>
                        <w:bottom w:val="none" w:sz="0" w:space="0" w:color="auto"/>
                        <w:right w:val="none" w:sz="0" w:space="0" w:color="auto"/>
                      </w:divBdr>
                      <w:divsChild>
                        <w:div w:id="1504472480">
                          <w:marLeft w:val="0"/>
                          <w:marRight w:val="0"/>
                          <w:marTop w:val="0"/>
                          <w:marBottom w:val="0"/>
                          <w:divBdr>
                            <w:top w:val="none" w:sz="0" w:space="0" w:color="auto"/>
                            <w:left w:val="none" w:sz="0" w:space="0" w:color="auto"/>
                            <w:bottom w:val="none" w:sz="0" w:space="0" w:color="auto"/>
                            <w:right w:val="none" w:sz="0" w:space="0" w:color="auto"/>
                          </w:divBdr>
                          <w:divsChild>
                            <w:div w:id="760880135">
                              <w:marLeft w:val="0"/>
                              <w:marRight w:val="0"/>
                              <w:marTop w:val="0"/>
                              <w:marBottom w:val="0"/>
                              <w:divBdr>
                                <w:top w:val="none" w:sz="0" w:space="0" w:color="auto"/>
                                <w:left w:val="none" w:sz="0" w:space="0" w:color="auto"/>
                                <w:bottom w:val="none" w:sz="0" w:space="0" w:color="auto"/>
                                <w:right w:val="none" w:sz="0" w:space="0" w:color="auto"/>
                              </w:divBdr>
                              <w:divsChild>
                                <w:div w:id="20031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424438">
      <w:bodyDiv w:val="1"/>
      <w:marLeft w:val="0"/>
      <w:marRight w:val="0"/>
      <w:marTop w:val="0"/>
      <w:marBottom w:val="0"/>
      <w:divBdr>
        <w:top w:val="none" w:sz="0" w:space="0" w:color="auto"/>
        <w:left w:val="none" w:sz="0" w:space="0" w:color="auto"/>
        <w:bottom w:val="none" w:sz="0" w:space="0" w:color="auto"/>
        <w:right w:val="none" w:sz="0" w:space="0" w:color="auto"/>
      </w:divBdr>
      <w:divsChild>
        <w:div w:id="1651669736">
          <w:marLeft w:val="0"/>
          <w:marRight w:val="0"/>
          <w:marTop w:val="11100"/>
          <w:marBottom w:val="0"/>
          <w:divBdr>
            <w:top w:val="none" w:sz="0" w:space="0" w:color="auto"/>
            <w:left w:val="none" w:sz="0" w:space="0" w:color="auto"/>
            <w:bottom w:val="none" w:sz="0" w:space="0" w:color="auto"/>
            <w:right w:val="none" w:sz="0" w:space="0" w:color="auto"/>
          </w:divBdr>
          <w:divsChild>
            <w:div w:id="802114841">
              <w:marLeft w:val="0"/>
              <w:marRight w:val="0"/>
              <w:marTop w:val="0"/>
              <w:marBottom w:val="0"/>
              <w:divBdr>
                <w:top w:val="none" w:sz="0" w:space="0" w:color="auto"/>
                <w:left w:val="none" w:sz="0" w:space="0" w:color="auto"/>
                <w:bottom w:val="none" w:sz="0" w:space="0" w:color="auto"/>
                <w:right w:val="none" w:sz="0" w:space="0" w:color="auto"/>
              </w:divBdr>
              <w:divsChild>
                <w:div w:id="386613464">
                  <w:marLeft w:val="0"/>
                  <w:marRight w:val="0"/>
                  <w:marTop w:val="0"/>
                  <w:marBottom w:val="0"/>
                  <w:divBdr>
                    <w:top w:val="none" w:sz="0" w:space="0" w:color="auto"/>
                    <w:left w:val="none" w:sz="0" w:space="0" w:color="auto"/>
                    <w:bottom w:val="none" w:sz="0" w:space="0" w:color="auto"/>
                    <w:right w:val="none" w:sz="0" w:space="0" w:color="auto"/>
                  </w:divBdr>
                  <w:divsChild>
                    <w:div w:id="1006398599">
                      <w:marLeft w:val="0"/>
                      <w:marRight w:val="0"/>
                      <w:marTop w:val="0"/>
                      <w:marBottom w:val="0"/>
                      <w:divBdr>
                        <w:top w:val="none" w:sz="0" w:space="0" w:color="auto"/>
                        <w:left w:val="none" w:sz="0" w:space="0" w:color="auto"/>
                        <w:bottom w:val="none" w:sz="0" w:space="0" w:color="auto"/>
                        <w:right w:val="none" w:sz="0" w:space="0" w:color="auto"/>
                      </w:divBdr>
                      <w:divsChild>
                        <w:div w:id="197202720">
                          <w:marLeft w:val="0"/>
                          <w:marRight w:val="0"/>
                          <w:marTop w:val="0"/>
                          <w:marBottom w:val="0"/>
                          <w:divBdr>
                            <w:top w:val="none" w:sz="0" w:space="0" w:color="auto"/>
                            <w:left w:val="none" w:sz="0" w:space="0" w:color="auto"/>
                            <w:bottom w:val="none" w:sz="0" w:space="0" w:color="auto"/>
                            <w:right w:val="none" w:sz="0" w:space="0" w:color="auto"/>
                          </w:divBdr>
                          <w:divsChild>
                            <w:div w:id="1672294110">
                              <w:marLeft w:val="0"/>
                              <w:marRight w:val="0"/>
                              <w:marTop w:val="0"/>
                              <w:marBottom w:val="0"/>
                              <w:divBdr>
                                <w:top w:val="none" w:sz="0" w:space="0" w:color="auto"/>
                                <w:left w:val="none" w:sz="0" w:space="0" w:color="auto"/>
                                <w:bottom w:val="none" w:sz="0" w:space="0" w:color="auto"/>
                                <w:right w:val="none" w:sz="0" w:space="0" w:color="auto"/>
                              </w:divBdr>
                              <w:divsChild>
                                <w:div w:id="20117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5200">
      <w:bodyDiv w:val="1"/>
      <w:marLeft w:val="0"/>
      <w:marRight w:val="0"/>
      <w:marTop w:val="0"/>
      <w:marBottom w:val="0"/>
      <w:divBdr>
        <w:top w:val="none" w:sz="0" w:space="0" w:color="auto"/>
        <w:left w:val="none" w:sz="0" w:space="0" w:color="auto"/>
        <w:bottom w:val="none" w:sz="0" w:space="0" w:color="auto"/>
        <w:right w:val="none" w:sz="0" w:space="0" w:color="auto"/>
      </w:divBdr>
      <w:divsChild>
        <w:div w:id="1670671957">
          <w:marLeft w:val="0"/>
          <w:marRight w:val="0"/>
          <w:marTop w:val="14250"/>
          <w:marBottom w:val="0"/>
          <w:divBdr>
            <w:top w:val="none" w:sz="0" w:space="0" w:color="auto"/>
            <w:left w:val="none" w:sz="0" w:space="0" w:color="auto"/>
            <w:bottom w:val="none" w:sz="0" w:space="0" w:color="auto"/>
            <w:right w:val="none" w:sz="0" w:space="0" w:color="auto"/>
          </w:divBdr>
          <w:divsChild>
            <w:div w:id="750590940">
              <w:marLeft w:val="0"/>
              <w:marRight w:val="0"/>
              <w:marTop w:val="0"/>
              <w:marBottom w:val="0"/>
              <w:divBdr>
                <w:top w:val="none" w:sz="0" w:space="0" w:color="auto"/>
                <w:left w:val="none" w:sz="0" w:space="0" w:color="auto"/>
                <w:bottom w:val="none" w:sz="0" w:space="0" w:color="auto"/>
                <w:right w:val="none" w:sz="0" w:space="0" w:color="auto"/>
              </w:divBdr>
              <w:divsChild>
                <w:div w:id="327253162">
                  <w:marLeft w:val="0"/>
                  <w:marRight w:val="0"/>
                  <w:marTop w:val="0"/>
                  <w:marBottom w:val="0"/>
                  <w:divBdr>
                    <w:top w:val="none" w:sz="0" w:space="0" w:color="auto"/>
                    <w:left w:val="none" w:sz="0" w:space="0" w:color="auto"/>
                    <w:bottom w:val="none" w:sz="0" w:space="0" w:color="auto"/>
                    <w:right w:val="none" w:sz="0" w:space="0" w:color="auto"/>
                  </w:divBdr>
                  <w:divsChild>
                    <w:div w:id="695498634">
                      <w:marLeft w:val="0"/>
                      <w:marRight w:val="0"/>
                      <w:marTop w:val="0"/>
                      <w:marBottom w:val="0"/>
                      <w:divBdr>
                        <w:top w:val="none" w:sz="0" w:space="0" w:color="auto"/>
                        <w:left w:val="none" w:sz="0" w:space="0" w:color="auto"/>
                        <w:bottom w:val="none" w:sz="0" w:space="0" w:color="auto"/>
                        <w:right w:val="none" w:sz="0" w:space="0" w:color="auto"/>
                      </w:divBdr>
                      <w:divsChild>
                        <w:div w:id="184173373">
                          <w:marLeft w:val="0"/>
                          <w:marRight w:val="0"/>
                          <w:marTop w:val="0"/>
                          <w:marBottom w:val="0"/>
                          <w:divBdr>
                            <w:top w:val="none" w:sz="0" w:space="0" w:color="auto"/>
                            <w:left w:val="none" w:sz="0" w:space="0" w:color="auto"/>
                            <w:bottom w:val="none" w:sz="0" w:space="0" w:color="auto"/>
                            <w:right w:val="none" w:sz="0" w:space="0" w:color="auto"/>
                          </w:divBdr>
                          <w:divsChild>
                            <w:div w:id="2125997983">
                              <w:marLeft w:val="0"/>
                              <w:marRight w:val="0"/>
                              <w:marTop w:val="0"/>
                              <w:marBottom w:val="0"/>
                              <w:divBdr>
                                <w:top w:val="none" w:sz="0" w:space="0" w:color="auto"/>
                                <w:left w:val="none" w:sz="0" w:space="0" w:color="auto"/>
                                <w:bottom w:val="none" w:sz="0" w:space="0" w:color="auto"/>
                                <w:right w:val="none" w:sz="0" w:space="0" w:color="auto"/>
                              </w:divBdr>
                              <w:divsChild>
                                <w:div w:id="19448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95190">
      <w:bodyDiv w:val="1"/>
      <w:marLeft w:val="0"/>
      <w:marRight w:val="0"/>
      <w:marTop w:val="0"/>
      <w:marBottom w:val="0"/>
      <w:divBdr>
        <w:top w:val="none" w:sz="0" w:space="0" w:color="auto"/>
        <w:left w:val="none" w:sz="0" w:space="0" w:color="auto"/>
        <w:bottom w:val="none" w:sz="0" w:space="0" w:color="auto"/>
        <w:right w:val="none" w:sz="0" w:space="0" w:color="auto"/>
      </w:divBdr>
      <w:divsChild>
        <w:div w:id="766081872">
          <w:marLeft w:val="0"/>
          <w:marRight w:val="0"/>
          <w:marTop w:val="5205"/>
          <w:marBottom w:val="0"/>
          <w:divBdr>
            <w:top w:val="none" w:sz="0" w:space="0" w:color="auto"/>
            <w:left w:val="none" w:sz="0" w:space="0" w:color="auto"/>
            <w:bottom w:val="none" w:sz="0" w:space="0" w:color="auto"/>
            <w:right w:val="none" w:sz="0" w:space="0" w:color="auto"/>
          </w:divBdr>
          <w:divsChild>
            <w:div w:id="1967999312">
              <w:marLeft w:val="0"/>
              <w:marRight w:val="0"/>
              <w:marTop w:val="0"/>
              <w:marBottom w:val="0"/>
              <w:divBdr>
                <w:top w:val="none" w:sz="0" w:space="0" w:color="auto"/>
                <w:left w:val="none" w:sz="0" w:space="0" w:color="auto"/>
                <w:bottom w:val="none" w:sz="0" w:space="0" w:color="auto"/>
                <w:right w:val="none" w:sz="0" w:space="0" w:color="auto"/>
              </w:divBdr>
              <w:divsChild>
                <w:div w:id="1843815034">
                  <w:marLeft w:val="0"/>
                  <w:marRight w:val="0"/>
                  <w:marTop w:val="0"/>
                  <w:marBottom w:val="0"/>
                  <w:divBdr>
                    <w:top w:val="none" w:sz="0" w:space="0" w:color="auto"/>
                    <w:left w:val="none" w:sz="0" w:space="0" w:color="auto"/>
                    <w:bottom w:val="none" w:sz="0" w:space="0" w:color="auto"/>
                    <w:right w:val="none" w:sz="0" w:space="0" w:color="auto"/>
                  </w:divBdr>
                  <w:divsChild>
                    <w:div w:id="275407641">
                      <w:marLeft w:val="0"/>
                      <w:marRight w:val="0"/>
                      <w:marTop w:val="0"/>
                      <w:marBottom w:val="0"/>
                      <w:divBdr>
                        <w:top w:val="none" w:sz="0" w:space="0" w:color="auto"/>
                        <w:left w:val="none" w:sz="0" w:space="0" w:color="auto"/>
                        <w:bottom w:val="none" w:sz="0" w:space="0" w:color="auto"/>
                        <w:right w:val="none" w:sz="0" w:space="0" w:color="auto"/>
                      </w:divBdr>
                      <w:divsChild>
                        <w:div w:id="1715231654">
                          <w:marLeft w:val="0"/>
                          <w:marRight w:val="0"/>
                          <w:marTop w:val="0"/>
                          <w:marBottom w:val="0"/>
                          <w:divBdr>
                            <w:top w:val="none" w:sz="0" w:space="0" w:color="auto"/>
                            <w:left w:val="none" w:sz="0" w:space="0" w:color="auto"/>
                            <w:bottom w:val="none" w:sz="0" w:space="0" w:color="auto"/>
                            <w:right w:val="none" w:sz="0" w:space="0" w:color="auto"/>
                          </w:divBdr>
                          <w:divsChild>
                            <w:div w:id="1598516077">
                              <w:marLeft w:val="0"/>
                              <w:marRight w:val="0"/>
                              <w:marTop w:val="0"/>
                              <w:marBottom w:val="0"/>
                              <w:divBdr>
                                <w:top w:val="none" w:sz="0" w:space="0" w:color="auto"/>
                                <w:left w:val="none" w:sz="0" w:space="0" w:color="auto"/>
                                <w:bottom w:val="none" w:sz="0" w:space="0" w:color="auto"/>
                                <w:right w:val="none" w:sz="0" w:space="0" w:color="auto"/>
                              </w:divBdr>
                              <w:divsChild>
                                <w:div w:id="1570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cp:lastPrinted>2021-07-07T02:09:00Z</cp:lastPrinted>
  <dcterms:created xsi:type="dcterms:W3CDTF">2020-10-29T08:52:00Z</dcterms:created>
  <dcterms:modified xsi:type="dcterms:W3CDTF">2021-07-07T02:09:00Z</dcterms:modified>
</cp:coreProperties>
</file>